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D7248">
      <w:pPr>
        <w:pStyle w:val="2"/>
        <w:jc w:val="left"/>
        <w:rPr>
          <w:rFonts w:hint="eastAsia" w:ascii="宋体" w:hAnsi="宋体" w:cs="宋体"/>
          <w:b/>
          <w:bCs/>
          <w:snapToGrid w:val="0"/>
          <w:kern w:val="0"/>
          <w:sz w:val="44"/>
          <w:szCs w:val="44"/>
          <w:lang w:val="en-US" w:eastAsia="zh-CN"/>
        </w:rPr>
      </w:pPr>
      <w:r>
        <w:rPr>
          <w:rFonts w:hint="eastAsia" w:ascii="宋体" w:hAnsi="宋体" w:cs="宋体"/>
          <w:snapToGrid w:val="0"/>
          <w:kern w:val="0"/>
          <w:sz w:val="28"/>
          <w:szCs w:val="28"/>
          <w:lang w:val="en-US" w:eastAsia="zh-CN"/>
        </w:rPr>
        <w:t>附件：</w:t>
      </w:r>
    </w:p>
    <w:p w14:paraId="0756A696">
      <w:pPr>
        <w:pStyle w:val="2"/>
        <w:jc w:val="center"/>
        <w:rPr>
          <w:rFonts w:hint="eastAsia" w:ascii="宋体" w:hAnsi="宋体" w:cs="宋体"/>
          <w:b/>
          <w:bCs/>
          <w:snapToGrid w:val="0"/>
          <w:kern w:val="0"/>
          <w:sz w:val="44"/>
          <w:szCs w:val="44"/>
          <w:lang w:val="en-US" w:eastAsia="zh-CN"/>
        </w:rPr>
      </w:pPr>
      <w:r>
        <w:rPr>
          <w:rFonts w:hint="eastAsia" w:ascii="宋体" w:hAnsi="宋体" w:cs="宋体"/>
          <w:b/>
          <w:bCs/>
          <w:snapToGrid w:val="0"/>
          <w:kern w:val="0"/>
          <w:sz w:val="44"/>
          <w:szCs w:val="44"/>
          <w:lang w:val="en-US" w:eastAsia="zh-CN"/>
        </w:rPr>
        <w:t>采购内容及要求</w:t>
      </w:r>
    </w:p>
    <w:p w14:paraId="12DAC3AF">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w:t>
      </w:r>
      <w:r>
        <w:rPr>
          <w:rFonts w:hint="eastAsia" w:ascii="仿宋_GB2312" w:hAnsi="仿宋_GB2312" w:eastAsia="仿宋_GB2312" w:cs="仿宋_GB2312"/>
          <w:snapToGrid w:val="0"/>
          <w:kern w:val="0"/>
          <w:sz w:val="30"/>
          <w:szCs w:val="30"/>
        </w:rPr>
        <w:t>本项目的特定资格要求：如是生产商或制造商投标需提供医疗器械生产许可证，如是代理商或经销商投标需提供医疗器械经营许可证</w:t>
      </w:r>
      <w:r>
        <w:rPr>
          <w:rFonts w:hint="eastAsia" w:ascii="仿宋_GB2312" w:hAnsi="仿宋_GB2312" w:eastAsia="仿宋_GB2312" w:cs="仿宋_GB2312"/>
          <w:snapToGrid w:val="0"/>
          <w:kern w:val="0"/>
          <w:sz w:val="30"/>
          <w:szCs w:val="30"/>
          <w:lang w:val="en-US" w:eastAsia="zh-CN"/>
        </w:rPr>
        <w:t>或二类医疗器械备案凭证。</w:t>
      </w:r>
      <w:bookmarkStart w:id="1" w:name="_GoBack"/>
      <w:bookmarkEnd w:id="1"/>
    </w:p>
    <w:p w14:paraId="360090C2">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技术要求：</w:t>
      </w:r>
    </w:p>
    <w:p w14:paraId="387A342D">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1、投标方保证液氦订购需求，并保证液氦产品符合国家的质量标准。完成供液后，应由双方代表在《液氦供应记录单》中签字确认，双方签字后即视为验收合格。</w:t>
      </w:r>
    </w:p>
    <w:p w14:paraId="6E7E1288">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2、若加液前磁体处于正常状态下，加液过程中发生失超及与之相关的事故，则由投标方承担相应责任，投标方将无偿为该设备恢复原状。</w:t>
      </w:r>
    </w:p>
    <w:p w14:paraId="139CA407">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★3、承诺对该核磁共振送一年技术保修，工程师2小时到达现场。</w:t>
      </w:r>
    </w:p>
    <w:p w14:paraId="2DA93E6E">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维保要求：明确维修、保养内容的报告单、工程师现场维保资料。对设备提供每年≥2次的定期维护与保养，定期的维护保养服务包括：设备的安全检查、影像质量检查、设备清洁保养、性能测试及校准、运行状态检查、质控服务等；以及非紧急性质的预防性维护和确保系统能按照设备的产品规范运行的其他维护，并定期对设备的数据进行备份，确保系统能按照设备制造商的产品标准来运行。每次巡检后须提供巡检报告，包含但不仅限于现场照片、故障现象、 解决方案、配件更换记录等内容。</w:t>
      </w:r>
    </w:p>
    <w:p w14:paraId="6A50A042">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（1）根据设备运行要求提供不限次数的人工技术服务。</w:t>
      </w:r>
    </w:p>
    <w:p w14:paraId="2B264EAC">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（2）提供在线支持：协助采购人技师分析及处理有关问题。采购人在电话报修后提供远程支持，资深工程师在线支持、答疑，及时诊断机器故障原因，定制维修方案。</w:t>
      </w:r>
    </w:p>
    <w:p w14:paraId="5F3F10CF">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（3）远程诊断：服务期内，经采购人同意后工程师可以通过网络与医院系统进行连接，从而执行维护和故障排除的任务。</w:t>
      </w:r>
    </w:p>
    <w:p w14:paraId="632B1FAD">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4）维修时效要求：供应商具备客户服务专线电话，24小时*365天响应，维修热线24小时畅通。电话响应时间在30分钟内，到达现场响应时间≤2小时，维修不涉及零配件更换应≤24小时修复完毕，更换配件的情况下，配件物流到达时间≤48小时，达到现场后≤12小时修复设备。（以上不可抗力因素除外）</w:t>
      </w:r>
    </w:p>
    <w:p w14:paraId="7EFAE2D3">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（5）供应商须确保开机率≥95%，按一年365天计算。若设备开机率低于 95%时，停机时间超过一天顺延5天维保期；如开机率低于90%时，停机时间超过一天顺延5天维保期。</w:t>
      </w:r>
    </w:p>
    <w:p w14:paraId="0D63E455">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（6）供应商对设备使用相关技术人员进行免费培训，使其熟练使用该设备，并进行日常维护和保养和性能检测。</w:t>
      </w:r>
    </w:p>
    <w:p w14:paraId="39173757">
      <w:pPr>
        <w:pStyle w:val="2"/>
        <w:jc w:val="left"/>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（7）配件及时性要求：供应商必需设有专业的零备件仓库，仓储有同类型设备零备件，并在响应文件中提供相应的进销存证明资料及备件仓库备置证明资料。</w:t>
      </w:r>
    </w:p>
    <w:p w14:paraId="7BB61850">
      <w:pPr>
        <w:rPr>
          <w:rFonts w:hint="default"/>
          <w:lang w:val="en-US" w:eastAsia="zh-CN"/>
        </w:rPr>
      </w:pPr>
      <w:bookmarkStart w:id="0" w:name="bookmark12"/>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DAFC">
    <w:pPr>
      <w:pStyle w:val="2"/>
      <w:spacing w:line="209" w:lineRule="auto"/>
      <w:ind w:left="22"/>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Njc4MmM0NDkwMjNlMGU5ZGE4ZTEyMjJhZjcyNmQifQ=="/>
  </w:docVars>
  <w:rsids>
    <w:rsidRoot w:val="47806D6E"/>
    <w:rsid w:val="03117A2D"/>
    <w:rsid w:val="1D576A65"/>
    <w:rsid w:val="37333236"/>
    <w:rsid w:val="4780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961</Words>
  <Characters>978</Characters>
  <Lines>0</Lines>
  <Paragraphs>0</Paragraphs>
  <TotalTime>16</TotalTime>
  <ScaleCrop>false</ScaleCrop>
  <LinksUpToDate>false</LinksUpToDate>
  <CharactersWithSpaces>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2024-10-11T02:47:00Z</dcterms:created>
  <dc:creator>小橙菜奈。</dc:creator>
  <cp:lastModifiedBy>小橙菜奈。</cp:lastModifiedBy>
  <dcterms:modified xsi:type="dcterms:W3CDTF">2024-10-23T02:31:04Z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62559951C2864280BC0ED209ED626804_13</vt:lpwstr>
  </property>
</Properties>
</file>